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4C9" w:rsidRDefault="002024C9" w:rsidP="002024C9">
      <w:pPr>
        <w:jc w:val="both"/>
        <w:rPr>
          <w:rFonts w:asciiTheme="majorBidi" w:hAnsiTheme="majorBidi" w:cstheme="majorBidi"/>
          <w:b/>
          <w:bCs/>
          <w:sz w:val="24"/>
          <w:szCs w:val="24"/>
        </w:rPr>
      </w:pPr>
      <w:bookmarkStart w:id="0" w:name="_GoBack"/>
      <w:r>
        <w:rPr>
          <w:rFonts w:asciiTheme="majorBidi" w:hAnsiTheme="majorBidi" w:cstheme="majorBidi"/>
          <w:b/>
          <w:bCs/>
          <w:sz w:val="24"/>
          <w:szCs w:val="24"/>
        </w:rPr>
        <w:t xml:space="preserve">Image/ </w:t>
      </w:r>
      <w:proofErr w:type="spellStart"/>
      <w:r>
        <w:rPr>
          <w:rFonts w:asciiTheme="majorBidi" w:hAnsiTheme="majorBidi" w:cstheme="majorBidi"/>
          <w:b/>
          <w:bCs/>
          <w:sz w:val="24"/>
          <w:szCs w:val="24"/>
        </w:rPr>
        <w:t>imagologie</w:t>
      </w:r>
      <w:proofErr w:type="spellEnd"/>
      <w:r>
        <w:rPr>
          <w:rFonts w:asciiTheme="majorBidi" w:hAnsiTheme="majorBidi" w:cstheme="majorBidi"/>
          <w:b/>
          <w:bCs/>
          <w:sz w:val="24"/>
          <w:szCs w:val="24"/>
        </w:rPr>
        <w:t xml:space="preserve">/ altérité </w:t>
      </w:r>
    </w:p>
    <w:bookmarkEnd w:id="0"/>
    <w:p w:rsidR="002024C9" w:rsidRDefault="002024C9" w:rsidP="002024C9">
      <w:pPr>
        <w:jc w:val="both"/>
        <w:rPr>
          <w:rFonts w:asciiTheme="majorBidi" w:hAnsiTheme="majorBidi" w:cstheme="majorBidi"/>
          <w:i/>
          <w:iCs/>
          <w:sz w:val="24"/>
          <w:szCs w:val="24"/>
        </w:rPr>
      </w:pPr>
      <w:r>
        <w:rPr>
          <w:rFonts w:asciiTheme="majorBidi" w:hAnsiTheme="majorBidi" w:cstheme="majorBidi"/>
          <w:sz w:val="24"/>
          <w:szCs w:val="24"/>
        </w:rPr>
        <w:t>L’étude de l’image ou la représentation de l’étranger ou ce qu’on appelle l’</w:t>
      </w:r>
      <w:proofErr w:type="spellStart"/>
      <w:r>
        <w:rPr>
          <w:rFonts w:asciiTheme="majorBidi" w:hAnsiTheme="majorBidi" w:cstheme="majorBidi"/>
          <w:sz w:val="24"/>
          <w:szCs w:val="24"/>
        </w:rPr>
        <w:t>imamologie</w:t>
      </w:r>
      <w:proofErr w:type="spellEnd"/>
      <w:r>
        <w:rPr>
          <w:rFonts w:asciiTheme="majorBidi" w:hAnsiTheme="majorBidi" w:cstheme="majorBidi"/>
          <w:sz w:val="24"/>
          <w:szCs w:val="24"/>
        </w:rPr>
        <w:t xml:space="preserve"> était l’intérêt de l’école française de la littérature comparée avec Jean-Marie Carré et Marius-François </w:t>
      </w:r>
      <w:proofErr w:type="spellStart"/>
      <w:r>
        <w:rPr>
          <w:rFonts w:asciiTheme="majorBidi" w:hAnsiTheme="majorBidi" w:cstheme="majorBidi"/>
          <w:sz w:val="24"/>
          <w:szCs w:val="24"/>
        </w:rPr>
        <w:t>Guyard</w:t>
      </w:r>
      <w:proofErr w:type="spellEnd"/>
      <w:r>
        <w:rPr>
          <w:rFonts w:asciiTheme="majorBidi" w:hAnsiTheme="majorBidi" w:cstheme="majorBidi"/>
          <w:sz w:val="24"/>
          <w:szCs w:val="24"/>
        </w:rPr>
        <w:t xml:space="preserve">, et notamment Paul </w:t>
      </w:r>
      <w:proofErr w:type="spellStart"/>
      <w:r>
        <w:rPr>
          <w:rFonts w:asciiTheme="majorBidi" w:hAnsiTheme="majorBidi" w:cstheme="majorBidi"/>
          <w:sz w:val="24"/>
          <w:szCs w:val="24"/>
        </w:rPr>
        <w:t>Hazard</w:t>
      </w:r>
      <w:proofErr w:type="spellEnd"/>
      <w:r>
        <w:rPr>
          <w:rFonts w:asciiTheme="majorBidi" w:hAnsiTheme="majorBidi" w:cstheme="majorBidi"/>
          <w:sz w:val="24"/>
          <w:szCs w:val="24"/>
        </w:rPr>
        <w:t xml:space="preserve"> et Ferdinand </w:t>
      </w:r>
      <w:proofErr w:type="spellStart"/>
      <w:r>
        <w:rPr>
          <w:rFonts w:asciiTheme="majorBidi" w:hAnsiTheme="majorBidi" w:cstheme="majorBidi"/>
          <w:sz w:val="24"/>
          <w:szCs w:val="24"/>
        </w:rPr>
        <w:t>Baldensperger</w:t>
      </w:r>
      <w:proofErr w:type="spellEnd"/>
      <w:r>
        <w:rPr>
          <w:rFonts w:asciiTheme="majorBidi" w:hAnsiTheme="majorBidi" w:cstheme="majorBidi"/>
          <w:sz w:val="24"/>
          <w:szCs w:val="24"/>
        </w:rPr>
        <w:t>, considérés comme les ancêtres de cette approche. L’</w:t>
      </w:r>
      <w:proofErr w:type="spellStart"/>
      <w:r>
        <w:rPr>
          <w:rFonts w:asciiTheme="majorBidi" w:hAnsiTheme="majorBidi" w:cstheme="majorBidi"/>
          <w:sz w:val="24"/>
          <w:szCs w:val="24"/>
        </w:rPr>
        <w:t>imagologie</w:t>
      </w:r>
      <w:proofErr w:type="spellEnd"/>
      <w:r>
        <w:rPr>
          <w:rFonts w:asciiTheme="majorBidi" w:hAnsiTheme="majorBidi" w:cstheme="majorBidi"/>
          <w:sz w:val="24"/>
          <w:szCs w:val="24"/>
        </w:rPr>
        <w:t xml:space="preserve"> est une méthode d’essence interdisciplinaire, se basant sur les recherches effectuées en sociologie, en ethnologie, en anthropologie, en histoire…pour s’ouvrir sur des questions pertinentes centrées autour de l’identité, la culture, l’acculturation, la déculturation, l’altérité, l’imaginaire social…introduite dans le champ littéraire, l’image littéraire devient : </w:t>
      </w:r>
      <w:r w:rsidRPr="00D2264C">
        <w:rPr>
          <w:rFonts w:asciiTheme="majorBidi" w:hAnsiTheme="majorBidi" w:cstheme="majorBidi"/>
          <w:i/>
          <w:iCs/>
          <w:sz w:val="24"/>
          <w:szCs w:val="24"/>
        </w:rPr>
        <w:t>« un ensemble d’idées sur l’étranger prises dans un processus de littérarisation mais aussi de socialisation. Cette perspective oblige le comparatiste à tenir compte de textes littéraires, de leur condition de production, de diffusion, de réception, et aussi de tout matériau culturel</w:t>
      </w:r>
      <w:r>
        <w:rPr>
          <w:rFonts w:asciiTheme="majorBidi" w:hAnsiTheme="majorBidi" w:cstheme="majorBidi"/>
          <w:i/>
          <w:iCs/>
          <w:sz w:val="24"/>
          <w:szCs w:val="24"/>
        </w:rPr>
        <w:t xml:space="preserve"> avec lequel on a écrit, mais aussi vécu, pensé et peut- être rêvé. L’image conduit à des carrefours problématiques où elle apparait comme un révélateur particulièrement éclairant des fonctionnements d’une société dans son idéologie (racisme, exotisme par exemple), dans son système littéraire évidemment, et dans son imaginaire social. »</w:t>
      </w:r>
      <w:r>
        <w:rPr>
          <w:rStyle w:val="Appelnotedebasdep"/>
          <w:rFonts w:asciiTheme="majorBidi" w:hAnsiTheme="majorBidi" w:cstheme="majorBidi"/>
          <w:i/>
          <w:iCs/>
          <w:sz w:val="24"/>
          <w:szCs w:val="24"/>
        </w:rPr>
        <w:footnoteReference w:id="1"/>
      </w:r>
    </w:p>
    <w:p w:rsidR="002024C9" w:rsidRDefault="002024C9" w:rsidP="002024C9">
      <w:pPr>
        <w:jc w:val="both"/>
        <w:rPr>
          <w:rFonts w:asciiTheme="majorBidi" w:hAnsiTheme="majorBidi" w:cstheme="majorBidi"/>
          <w:sz w:val="24"/>
          <w:szCs w:val="24"/>
        </w:rPr>
      </w:pPr>
      <w:r w:rsidRPr="000264AF">
        <w:rPr>
          <w:rFonts w:asciiTheme="majorBidi" w:hAnsiTheme="majorBidi" w:cstheme="majorBidi"/>
          <w:sz w:val="24"/>
          <w:szCs w:val="24"/>
        </w:rPr>
        <w:t>Dans l’</w:t>
      </w:r>
      <w:proofErr w:type="spellStart"/>
      <w:r w:rsidRPr="000264AF">
        <w:rPr>
          <w:rFonts w:asciiTheme="majorBidi" w:hAnsiTheme="majorBidi" w:cstheme="majorBidi"/>
          <w:sz w:val="24"/>
          <w:szCs w:val="24"/>
        </w:rPr>
        <w:t>imagologie</w:t>
      </w:r>
      <w:proofErr w:type="spellEnd"/>
      <w:r w:rsidRPr="000264AF">
        <w:rPr>
          <w:rFonts w:asciiTheme="majorBidi" w:hAnsiTheme="majorBidi" w:cstheme="majorBidi"/>
          <w:sz w:val="24"/>
          <w:szCs w:val="24"/>
        </w:rPr>
        <w:t xml:space="preserve">, l’image est possédante d’une triple orientation : d’abord elle constitue une logique en soi car sa correspondance avec la réalité est contestable ; l’image est spéculation d’un auteur et de son public ; et finalement l’image révèle deux dimensions esthétique et sociale, donc, son étude est interdisciplinaire. </w:t>
      </w:r>
    </w:p>
    <w:p w:rsidR="002024C9" w:rsidRPr="000264AF" w:rsidRDefault="002024C9" w:rsidP="002024C9">
      <w:pPr>
        <w:pStyle w:val="Paragraphedeliste"/>
        <w:numPr>
          <w:ilvl w:val="0"/>
          <w:numId w:val="1"/>
        </w:numPr>
        <w:jc w:val="both"/>
        <w:rPr>
          <w:rFonts w:asciiTheme="majorBidi" w:hAnsiTheme="majorBidi" w:cstheme="majorBidi"/>
          <w:b/>
          <w:bCs/>
          <w:sz w:val="24"/>
          <w:szCs w:val="24"/>
        </w:rPr>
      </w:pPr>
      <w:r w:rsidRPr="000264AF">
        <w:rPr>
          <w:rFonts w:asciiTheme="majorBidi" w:hAnsiTheme="majorBidi" w:cstheme="majorBidi"/>
          <w:b/>
          <w:bCs/>
          <w:sz w:val="24"/>
          <w:szCs w:val="24"/>
        </w:rPr>
        <w:t xml:space="preserve">L’image comparatiste  </w:t>
      </w:r>
    </w:p>
    <w:p w:rsidR="002024C9" w:rsidRPr="00C51FF4" w:rsidRDefault="002024C9" w:rsidP="002024C9">
      <w:pPr>
        <w:jc w:val="both"/>
        <w:rPr>
          <w:rFonts w:asciiTheme="majorBidi" w:hAnsiTheme="majorBidi" w:cstheme="majorBidi"/>
          <w:sz w:val="24"/>
          <w:szCs w:val="24"/>
        </w:rPr>
      </w:pPr>
      <w:r w:rsidRPr="000264AF">
        <w:rPr>
          <w:rFonts w:asciiTheme="majorBidi" w:hAnsiTheme="majorBidi" w:cstheme="majorBidi"/>
          <w:sz w:val="24"/>
          <w:szCs w:val="24"/>
        </w:rPr>
        <w:t xml:space="preserve">L’image est étudiée en littérature comparée puisqu’elle est une expression d’un écart : </w:t>
      </w:r>
      <w:r w:rsidRPr="000264AF">
        <w:rPr>
          <w:rFonts w:asciiTheme="majorBidi" w:hAnsiTheme="majorBidi" w:cstheme="majorBidi"/>
          <w:i/>
          <w:iCs/>
          <w:sz w:val="24"/>
          <w:szCs w:val="24"/>
        </w:rPr>
        <w:t>« toute image procède d’une prise de conscience, si minime soit-elle, d’un Je par rapport à un Autre, d’un Ici par rapport à un Ailleurs. L’image est donc l’expression, littéraire ou non, d’un écart significatif</w:t>
      </w:r>
      <w:r>
        <w:rPr>
          <w:rFonts w:asciiTheme="majorBidi" w:hAnsiTheme="majorBidi" w:cstheme="majorBidi"/>
          <w:i/>
          <w:iCs/>
          <w:sz w:val="24"/>
          <w:szCs w:val="24"/>
        </w:rPr>
        <w:t xml:space="preserve"> entre deux ordres </w:t>
      </w:r>
      <w:r w:rsidRPr="000264AF">
        <w:rPr>
          <w:rFonts w:asciiTheme="majorBidi" w:hAnsiTheme="majorBidi" w:cstheme="majorBidi"/>
          <w:i/>
          <w:iCs/>
          <w:sz w:val="24"/>
          <w:szCs w:val="24"/>
        </w:rPr>
        <w:t>de réalité culturelle. »</w:t>
      </w:r>
      <w:r w:rsidRPr="000264AF">
        <w:rPr>
          <w:rStyle w:val="Appelnotedebasdep"/>
          <w:rFonts w:asciiTheme="majorBidi" w:hAnsiTheme="majorBidi" w:cstheme="majorBidi"/>
          <w:i/>
          <w:iCs/>
          <w:sz w:val="24"/>
          <w:szCs w:val="24"/>
        </w:rPr>
        <w:footnoteReference w:id="2"/>
      </w:r>
      <w:r>
        <w:rPr>
          <w:rFonts w:asciiTheme="majorBidi" w:hAnsiTheme="majorBidi" w:cstheme="majorBidi"/>
          <w:sz w:val="24"/>
          <w:szCs w:val="24"/>
        </w:rPr>
        <w:t xml:space="preserve"> De ce fait m’image véhicule des savoirs entre une culture regardante et une autre regardée renforçant la distinction entre altérité et identité. Sans tenir en compte du degré de la fausseté de l’image, l’</w:t>
      </w:r>
      <w:proofErr w:type="spellStart"/>
      <w:r>
        <w:rPr>
          <w:rFonts w:asciiTheme="majorBidi" w:hAnsiTheme="majorBidi" w:cstheme="majorBidi"/>
          <w:sz w:val="24"/>
          <w:szCs w:val="24"/>
        </w:rPr>
        <w:t>imagologie</w:t>
      </w:r>
      <w:proofErr w:type="spellEnd"/>
      <w:r>
        <w:rPr>
          <w:rFonts w:asciiTheme="majorBidi" w:hAnsiTheme="majorBidi" w:cstheme="majorBidi"/>
          <w:sz w:val="24"/>
          <w:szCs w:val="24"/>
        </w:rPr>
        <w:t xml:space="preserve"> tend à étudier les </w:t>
      </w:r>
      <w:r w:rsidRPr="008225EE">
        <w:rPr>
          <w:rFonts w:asciiTheme="majorBidi" w:hAnsiTheme="majorBidi" w:cstheme="majorBidi"/>
          <w:i/>
          <w:iCs/>
          <w:sz w:val="24"/>
          <w:szCs w:val="24"/>
        </w:rPr>
        <w:t xml:space="preserve">« …diverses images qui composent, à un moment donné, </w:t>
      </w:r>
      <w:r>
        <w:rPr>
          <w:rFonts w:asciiTheme="majorBidi" w:hAnsiTheme="majorBidi" w:cstheme="majorBidi"/>
          <w:i/>
          <w:iCs/>
          <w:sz w:val="24"/>
          <w:szCs w:val="24"/>
        </w:rPr>
        <w:t>"</w:t>
      </w:r>
      <w:r w:rsidRPr="008225EE">
        <w:rPr>
          <w:rFonts w:asciiTheme="majorBidi" w:hAnsiTheme="majorBidi" w:cstheme="majorBidi"/>
          <w:i/>
          <w:iCs/>
          <w:sz w:val="24"/>
          <w:szCs w:val="24"/>
        </w:rPr>
        <w:t>la </w:t>
      </w:r>
      <w:r>
        <w:rPr>
          <w:rFonts w:asciiTheme="majorBidi" w:hAnsiTheme="majorBidi" w:cstheme="majorBidi"/>
          <w:i/>
          <w:iCs/>
          <w:sz w:val="24"/>
          <w:szCs w:val="24"/>
        </w:rPr>
        <w:t>"</w:t>
      </w:r>
      <w:r w:rsidRPr="008225EE">
        <w:rPr>
          <w:rFonts w:asciiTheme="majorBidi" w:hAnsiTheme="majorBidi" w:cstheme="majorBidi"/>
          <w:i/>
          <w:iCs/>
          <w:sz w:val="24"/>
          <w:szCs w:val="24"/>
        </w:rPr>
        <w:t xml:space="preserve"> représentation de l’étranger, sur l’étude des lignes de force qui régissent une société , son système littéraire et son imaginaire social. »</w:t>
      </w:r>
      <w:r w:rsidRPr="008225EE">
        <w:rPr>
          <w:rStyle w:val="Appelnotedebasdep"/>
          <w:rFonts w:asciiTheme="majorBidi" w:hAnsiTheme="majorBidi" w:cstheme="majorBidi"/>
          <w:i/>
          <w:iCs/>
          <w:sz w:val="24"/>
          <w:szCs w:val="24"/>
        </w:rPr>
        <w:footnoteReference w:id="3"/>
      </w:r>
      <w:r>
        <w:rPr>
          <w:rFonts w:asciiTheme="majorBidi" w:hAnsiTheme="majorBidi" w:cstheme="majorBidi"/>
          <w:sz w:val="24"/>
          <w:szCs w:val="24"/>
        </w:rPr>
        <w:t xml:space="preserve"> L’image n’est nullement une représentation d’une réalité, elle est la réactualisation d’un schéma déjà prêt ; et est un langage second d’un Je qui parle d’un Autre. Ce langage devient parfois une négation ou une affirmation du Je regardant pour dire rêveusement l’interethnique et l’interculturel entre une société regardante et une société regardée, ainsi : </w:t>
      </w:r>
      <w:r w:rsidRPr="008225EE">
        <w:rPr>
          <w:rFonts w:asciiTheme="majorBidi" w:hAnsiTheme="majorBidi" w:cstheme="majorBidi"/>
          <w:i/>
          <w:iCs/>
          <w:sz w:val="24"/>
          <w:szCs w:val="24"/>
        </w:rPr>
        <w:t>« l’image est un fait de culture et une pratique anthropologique pour exprimer à la fois l’identité et l’altérité (et le vêtement, la cuisine sont d’autres langages symploques</w:t>
      </w:r>
      <w:r>
        <w:rPr>
          <w:rFonts w:asciiTheme="majorBidi" w:hAnsiTheme="majorBidi" w:cstheme="majorBidi"/>
          <w:i/>
          <w:iCs/>
          <w:sz w:val="24"/>
          <w:szCs w:val="24"/>
        </w:rPr>
        <w:t>)</w:t>
      </w:r>
      <w:r w:rsidRPr="008225EE">
        <w:rPr>
          <w:rFonts w:asciiTheme="majorBidi" w:hAnsiTheme="majorBidi" w:cstheme="majorBidi"/>
          <w:i/>
          <w:iCs/>
          <w:sz w:val="24"/>
          <w:szCs w:val="24"/>
        </w:rPr>
        <w:t xml:space="preserve">. A ce titre, l’image a sa place dans </w:t>
      </w:r>
      <w:r w:rsidRPr="008225EE">
        <w:rPr>
          <w:rFonts w:asciiTheme="majorBidi" w:hAnsiTheme="majorBidi" w:cstheme="majorBidi"/>
          <w:i/>
          <w:iCs/>
          <w:sz w:val="24"/>
          <w:szCs w:val="24"/>
        </w:rPr>
        <w:lastRenderedPageBreak/>
        <w:t xml:space="preserve">l’univers symbolique que nous nommons </w:t>
      </w:r>
      <w:r>
        <w:rPr>
          <w:rFonts w:asciiTheme="majorBidi" w:hAnsiTheme="majorBidi" w:cstheme="majorBidi"/>
          <w:i/>
          <w:iCs/>
          <w:sz w:val="24"/>
          <w:szCs w:val="24"/>
        </w:rPr>
        <w:t>"</w:t>
      </w:r>
      <w:r w:rsidRPr="008225EE">
        <w:rPr>
          <w:rFonts w:asciiTheme="majorBidi" w:hAnsiTheme="majorBidi" w:cstheme="majorBidi"/>
          <w:i/>
          <w:iCs/>
          <w:sz w:val="24"/>
          <w:szCs w:val="24"/>
        </w:rPr>
        <w:t>imaginaire</w:t>
      </w:r>
      <w:r>
        <w:rPr>
          <w:rFonts w:asciiTheme="majorBidi" w:hAnsiTheme="majorBidi" w:cstheme="majorBidi"/>
          <w:i/>
          <w:iCs/>
          <w:sz w:val="24"/>
          <w:szCs w:val="24"/>
        </w:rPr>
        <w:t>"</w:t>
      </w:r>
      <w:r w:rsidRPr="008225EE">
        <w:rPr>
          <w:rFonts w:asciiTheme="majorBidi" w:hAnsiTheme="majorBidi" w:cstheme="majorBidi"/>
          <w:i/>
          <w:iCs/>
          <w:sz w:val="24"/>
          <w:szCs w:val="24"/>
        </w:rPr>
        <w:t>, lequel, parce qu’il est inséparable d’une organisation sociale, d’une culture est nommé imaginaire social. »</w:t>
      </w:r>
      <w:r w:rsidRPr="008225EE">
        <w:rPr>
          <w:rStyle w:val="Appelnotedebasdep"/>
          <w:rFonts w:asciiTheme="majorBidi" w:hAnsiTheme="majorBidi" w:cstheme="majorBidi"/>
          <w:i/>
          <w:iCs/>
          <w:sz w:val="24"/>
          <w:szCs w:val="24"/>
        </w:rPr>
        <w:footnoteReference w:id="4"/>
      </w:r>
      <w:r>
        <w:rPr>
          <w:rFonts w:asciiTheme="majorBidi" w:hAnsiTheme="majorBidi" w:cstheme="majorBidi"/>
          <w:i/>
          <w:iCs/>
          <w:sz w:val="24"/>
          <w:szCs w:val="24"/>
        </w:rPr>
        <w:t xml:space="preserve"> </w:t>
      </w:r>
      <w:r w:rsidRPr="00C51FF4">
        <w:rPr>
          <w:rFonts w:asciiTheme="majorBidi" w:hAnsiTheme="majorBidi" w:cstheme="majorBidi"/>
          <w:sz w:val="24"/>
          <w:szCs w:val="24"/>
        </w:rPr>
        <w:t>Ce dernier devient l’objet d</w:t>
      </w:r>
      <w:r>
        <w:rPr>
          <w:rFonts w:asciiTheme="majorBidi" w:hAnsiTheme="majorBidi" w:cstheme="majorBidi"/>
          <w:sz w:val="24"/>
          <w:szCs w:val="24"/>
        </w:rPr>
        <w:t>e</w:t>
      </w:r>
      <w:r w:rsidRPr="00C51FF4">
        <w:rPr>
          <w:rFonts w:asciiTheme="majorBidi" w:hAnsiTheme="majorBidi" w:cstheme="majorBidi"/>
          <w:sz w:val="24"/>
          <w:szCs w:val="24"/>
        </w:rPr>
        <w:t xml:space="preserve"> l’</w:t>
      </w:r>
      <w:proofErr w:type="spellStart"/>
      <w:r w:rsidRPr="00C51FF4">
        <w:rPr>
          <w:rFonts w:asciiTheme="majorBidi" w:hAnsiTheme="majorBidi" w:cstheme="majorBidi"/>
          <w:sz w:val="24"/>
          <w:szCs w:val="24"/>
        </w:rPr>
        <w:t>imagologie</w:t>
      </w:r>
      <w:proofErr w:type="spellEnd"/>
      <w:r w:rsidRPr="00C51FF4">
        <w:rPr>
          <w:rFonts w:asciiTheme="majorBidi" w:hAnsiTheme="majorBidi" w:cstheme="majorBidi"/>
          <w:sz w:val="24"/>
          <w:szCs w:val="24"/>
        </w:rPr>
        <w:t>. D’autre part, l’image possède une autre forme qu’on appelle stér</w:t>
      </w:r>
      <w:r>
        <w:rPr>
          <w:rFonts w:asciiTheme="majorBidi" w:hAnsiTheme="majorBidi" w:cstheme="majorBidi"/>
          <w:sz w:val="24"/>
          <w:szCs w:val="24"/>
        </w:rPr>
        <w:t>éo</w:t>
      </w:r>
      <w:r w:rsidRPr="00C51FF4">
        <w:rPr>
          <w:rFonts w:asciiTheme="majorBidi" w:hAnsiTheme="majorBidi" w:cstheme="majorBidi"/>
          <w:sz w:val="24"/>
          <w:szCs w:val="24"/>
        </w:rPr>
        <w:t>type, qui est</w:t>
      </w:r>
      <w:r>
        <w:rPr>
          <w:rFonts w:asciiTheme="majorBidi" w:hAnsiTheme="majorBidi" w:cstheme="majorBidi"/>
          <w:i/>
          <w:iCs/>
          <w:sz w:val="24"/>
          <w:szCs w:val="24"/>
        </w:rPr>
        <w:t> : « l’indice d’une communication univoque, d’une culture en voie de blocage. »</w:t>
      </w:r>
      <w:r>
        <w:rPr>
          <w:rStyle w:val="Appelnotedebasdep"/>
          <w:rFonts w:asciiTheme="majorBidi" w:hAnsiTheme="majorBidi" w:cstheme="majorBidi"/>
          <w:i/>
          <w:iCs/>
          <w:sz w:val="24"/>
          <w:szCs w:val="24"/>
        </w:rPr>
        <w:footnoteReference w:id="5"/>
      </w:r>
      <w:r>
        <w:rPr>
          <w:rFonts w:asciiTheme="majorBidi" w:hAnsiTheme="majorBidi" w:cstheme="majorBidi"/>
          <w:sz w:val="24"/>
          <w:szCs w:val="24"/>
        </w:rPr>
        <w:t>Le stéréotype, contrairement à l’image, est un porteur d’un savoir collectif minimum, souvent péjoratif et tautologique voire répétitif d’essence discriminatoire sur l’Autre, disant par exemple que le Français est un buveur du vin, ou le Juif est un avare, le stéréotype pourrait se confondre parfois avec la nature pour devenir une situation culturelle, comme utiliser l’expression du « sourire-dents-blanches » pour parler des Nègres, ou « Nez-crochu » pour parler des Juifs</w:t>
      </w:r>
      <w:r>
        <w:rPr>
          <w:rStyle w:val="Appelnotedebasdep"/>
          <w:rFonts w:asciiTheme="majorBidi" w:hAnsiTheme="majorBidi" w:cstheme="majorBidi"/>
          <w:sz w:val="24"/>
          <w:szCs w:val="24"/>
        </w:rPr>
        <w:footnoteReference w:id="6"/>
      </w:r>
      <w:r>
        <w:rPr>
          <w:rFonts w:asciiTheme="majorBidi" w:hAnsiTheme="majorBidi" w:cstheme="majorBidi"/>
          <w:sz w:val="24"/>
          <w:szCs w:val="24"/>
        </w:rPr>
        <w:t xml:space="preserve">, donc, le stéréotype : </w:t>
      </w:r>
      <w:r w:rsidRPr="00B13696">
        <w:rPr>
          <w:rFonts w:asciiTheme="majorBidi" w:hAnsiTheme="majorBidi" w:cstheme="majorBidi"/>
          <w:i/>
          <w:iCs/>
          <w:sz w:val="24"/>
          <w:szCs w:val="24"/>
        </w:rPr>
        <w:t xml:space="preserve">« entretient la confusion typique de l’idéologie entre le descriptif (le discours : </w:t>
      </w:r>
      <w:r>
        <w:rPr>
          <w:rFonts w:asciiTheme="majorBidi" w:hAnsiTheme="majorBidi" w:cstheme="majorBidi"/>
          <w:i/>
          <w:iCs/>
          <w:sz w:val="24"/>
          <w:szCs w:val="24"/>
        </w:rPr>
        <w:t>"</w:t>
      </w:r>
      <w:r w:rsidRPr="00B13696">
        <w:rPr>
          <w:rFonts w:asciiTheme="majorBidi" w:hAnsiTheme="majorBidi" w:cstheme="majorBidi"/>
          <w:i/>
          <w:iCs/>
          <w:sz w:val="24"/>
          <w:szCs w:val="24"/>
        </w:rPr>
        <w:t> tel peuple est </w:t>
      </w:r>
      <w:r>
        <w:rPr>
          <w:rFonts w:asciiTheme="majorBidi" w:hAnsiTheme="majorBidi" w:cstheme="majorBidi"/>
          <w:i/>
          <w:iCs/>
          <w:sz w:val="24"/>
          <w:szCs w:val="24"/>
        </w:rPr>
        <w:t>"</w:t>
      </w:r>
      <w:r w:rsidRPr="00B13696">
        <w:rPr>
          <w:rFonts w:asciiTheme="majorBidi" w:hAnsiTheme="majorBidi" w:cstheme="majorBidi"/>
          <w:i/>
          <w:iCs/>
          <w:sz w:val="24"/>
          <w:szCs w:val="24"/>
        </w:rPr>
        <w:t>…)</w:t>
      </w:r>
      <w:r>
        <w:rPr>
          <w:rFonts w:asciiTheme="majorBidi" w:hAnsiTheme="majorBidi" w:cstheme="majorBidi"/>
          <w:i/>
          <w:iCs/>
          <w:sz w:val="24"/>
          <w:szCs w:val="24"/>
        </w:rPr>
        <w:t>et</w:t>
      </w:r>
      <w:r w:rsidRPr="00B13696">
        <w:rPr>
          <w:rFonts w:asciiTheme="majorBidi" w:hAnsiTheme="majorBidi" w:cstheme="majorBidi"/>
          <w:i/>
          <w:iCs/>
          <w:sz w:val="24"/>
          <w:szCs w:val="24"/>
        </w:rPr>
        <w:t xml:space="preserve"> le normatif (la norme, disions-nous, </w:t>
      </w:r>
      <w:r>
        <w:rPr>
          <w:rFonts w:asciiTheme="majorBidi" w:hAnsiTheme="majorBidi" w:cstheme="majorBidi"/>
          <w:i/>
          <w:iCs/>
          <w:sz w:val="24"/>
          <w:szCs w:val="24"/>
        </w:rPr>
        <w:t>"</w:t>
      </w:r>
      <w:r w:rsidRPr="00B13696">
        <w:rPr>
          <w:rFonts w:asciiTheme="majorBidi" w:hAnsiTheme="majorBidi" w:cstheme="majorBidi"/>
          <w:i/>
          <w:iCs/>
          <w:sz w:val="24"/>
          <w:szCs w:val="24"/>
        </w:rPr>
        <w:t> tel peuple ne sait pas </w:t>
      </w:r>
      <w:r>
        <w:rPr>
          <w:rFonts w:asciiTheme="majorBidi" w:hAnsiTheme="majorBidi" w:cstheme="majorBidi"/>
          <w:i/>
          <w:iCs/>
          <w:sz w:val="24"/>
          <w:szCs w:val="24"/>
        </w:rPr>
        <w:t>"</w:t>
      </w:r>
      <w:r w:rsidRPr="00B13696">
        <w:rPr>
          <w:rFonts w:asciiTheme="majorBidi" w:hAnsiTheme="majorBidi" w:cstheme="majorBidi"/>
          <w:i/>
          <w:iCs/>
          <w:sz w:val="24"/>
          <w:szCs w:val="24"/>
        </w:rPr>
        <w:t>…)</w:t>
      </w:r>
      <w:r>
        <w:rPr>
          <w:rFonts w:asciiTheme="majorBidi" w:hAnsiTheme="majorBidi" w:cstheme="majorBidi"/>
          <w:i/>
          <w:iCs/>
          <w:sz w:val="24"/>
          <w:szCs w:val="24"/>
        </w:rPr>
        <w:t>.</w:t>
      </w:r>
      <w:r w:rsidRPr="00B13696">
        <w:rPr>
          <w:rFonts w:asciiTheme="majorBidi" w:hAnsiTheme="majorBidi" w:cstheme="majorBidi"/>
          <w:i/>
          <w:iCs/>
          <w:sz w:val="24"/>
          <w:szCs w:val="24"/>
        </w:rPr>
        <w:t xml:space="preserve"> Le descriptif (l’attribut physique) se confond avec l’ordre normatif (infériorité d’un peuple, de telle culture). L’idéologie raciste, aux multiples variantes, repose sur la fausse démonstration de l’infériorité physique, intellectuelle ou l’anormalité de l’Autre (par rapport à une </w:t>
      </w:r>
      <w:r>
        <w:rPr>
          <w:rFonts w:asciiTheme="majorBidi" w:hAnsiTheme="majorBidi" w:cstheme="majorBidi"/>
          <w:i/>
          <w:iCs/>
          <w:sz w:val="24"/>
          <w:szCs w:val="24"/>
        </w:rPr>
        <w:t>n</w:t>
      </w:r>
      <w:r w:rsidRPr="00B13696">
        <w:rPr>
          <w:rFonts w:asciiTheme="majorBidi" w:hAnsiTheme="majorBidi" w:cstheme="majorBidi"/>
          <w:i/>
          <w:iCs/>
          <w:sz w:val="24"/>
          <w:szCs w:val="24"/>
        </w:rPr>
        <w:t>orme posée par un énonciateur  et tenue pour supérieure). »</w:t>
      </w:r>
      <w:r w:rsidRPr="00B13696">
        <w:rPr>
          <w:rStyle w:val="Appelnotedebasdep"/>
          <w:rFonts w:asciiTheme="majorBidi" w:hAnsiTheme="majorBidi" w:cstheme="majorBidi"/>
          <w:i/>
          <w:iCs/>
          <w:sz w:val="24"/>
          <w:szCs w:val="24"/>
        </w:rPr>
        <w:footnoteReference w:id="7"/>
      </w:r>
    </w:p>
    <w:p w:rsidR="002024C9" w:rsidRDefault="002024C9" w:rsidP="002024C9">
      <w:pPr>
        <w:pStyle w:val="Paragraphedeliste"/>
        <w:numPr>
          <w:ilvl w:val="0"/>
          <w:numId w:val="1"/>
        </w:numPr>
        <w:jc w:val="both"/>
        <w:rPr>
          <w:rFonts w:asciiTheme="majorBidi" w:hAnsiTheme="majorBidi" w:cstheme="majorBidi"/>
          <w:b/>
          <w:bCs/>
          <w:sz w:val="24"/>
          <w:szCs w:val="24"/>
        </w:rPr>
      </w:pPr>
      <w:r>
        <w:rPr>
          <w:rFonts w:asciiTheme="majorBidi" w:hAnsiTheme="majorBidi" w:cstheme="majorBidi"/>
          <w:b/>
          <w:bCs/>
          <w:sz w:val="24"/>
          <w:szCs w:val="24"/>
        </w:rPr>
        <w:t>Les domaines de l’</w:t>
      </w:r>
      <w:proofErr w:type="spellStart"/>
      <w:r>
        <w:rPr>
          <w:rFonts w:asciiTheme="majorBidi" w:hAnsiTheme="majorBidi" w:cstheme="majorBidi"/>
          <w:b/>
          <w:bCs/>
          <w:sz w:val="24"/>
          <w:szCs w:val="24"/>
        </w:rPr>
        <w:t>imagologie</w:t>
      </w:r>
      <w:proofErr w:type="spellEnd"/>
      <w:r>
        <w:rPr>
          <w:rFonts w:asciiTheme="majorBidi" w:hAnsiTheme="majorBidi" w:cstheme="majorBidi"/>
          <w:b/>
          <w:bCs/>
          <w:sz w:val="24"/>
          <w:szCs w:val="24"/>
        </w:rPr>
        <w:t> </w:t>
      </w:r>
    </w:p>
    <w:p w:rsidR="002024C9" w:rsidRDefault="002024C9" w:rsidP="002024C9">
      <w:pPr>
        <w:jc w:val="both"/>
        <w:rPr>
          <w:rFonts w:asciiTheme="majorBidi" w:hAnsiTheme="majorBidi" w:cstheme="majorBidi"/>
          <w:sz w:val="24"/>
          <w:szCs w:val="24"/>
        </w:rPr>
      </w:pPr>
      <w:r>
        <w:rPr>
          <w:rFonts w:asciiTheme="majorBidi" w:hAnsiTheme="majorBidi" w:cstheme="majorBidi"/>
          <w:sz w:val="24"/>
          <w:szCs w:val="24"/>
        </w:rPr>
        <w:t>Les études de l’</w:t>
      </w:r>
      <w:proofErr w:type="spellStart"/>
      <w:r>
        <w:rPr>
          <w:rFonts w:asciiTheme="majorBidi" w:hAnsiTheme="majorBidi" w:cstheme="majorBidi"/>
          <w:sz w:val="24"/>
          <w:szCs w:val="24"/>
        </w:rPr>
        <w:t>imagologie</w:t>
      </w:r>
      <w:proofErr w:type="spellEnd"/>
      <w:r>
        <w:rPr>
          <w:rFonts w:asciiTheme="majorBidi" w:hAnsiTheme="majorBidi" w:cstheme="majorBidi"/>
          <w:sz w:val="24"/>
          <w:szCs w:val="24"/>
        </w:rPr>
        <w:t xml:space="preserve"> s’inscrivent dans un champ très vaste comprenant : </w:t>
      </w:r>
    </w:p>
    <w:p w:rsidR="002024C9" w:rsidRDefault="002024C9" w:rsidP="002024C9">
      <w:pPr>
        <w:pStyle w:val="Paragraphedeliste"/>
        <w:numPr>
          <w:ilvl w:val="0"/>
          <w:numId w:val="2"/>
        </w:numPr>
        <w:jc w:val="both"/>
        <w:rPr>
          <w:rFonts w:asciiTheme="majorBidi" w:hAnsiTheme="majorBidi" w:cstheme="majorBidi"/>
          <w:b/>
          <w:bCs/>
          <w:sz w:val="24"/>
          <w:szCs w:val="24"/>
        </w:rPr>
      </w:pPr>
      <w:r w:rsidRPr="00B13696">
        <w:rPr>
          <w:rFonts w:asciiTheme="majorBidi" w:hAnsiTheme="majorBidi" w:cstheme="majorBidi"/>
          <w:b/>
          <w:bCs/>
          <w:sz w:val="24"/>
          <w:szCs w:val="24"/>
        </w:rPr>
        <w:t>types littéraires </w:t>
      </w:r>
    </w:p>
    <w:p w:rsidR="002024C9" w:rsidRPr="00E905F1" w:rsidRDefault="002024C9" w:rsidP="002024C9">
      <w:pPr>
        <w:ind w:left="360"/>
        <w:jc w:val="both"/>
        <w:rPr>
          <w:rFonts w:asciiTheme="majorBidi" w:hAnsiTheme="majorBidi" w:cstheme="majorBidi"/>
          <w:sz w:val="24"/>
          <w:szCs w:val="24"/>
        </w:rPr>
      </w:pPr>
      <w:r w:rsidRPr="00E905F1">
        <w:rPr>
          <w:rFonts w:asciiTheme="majorBidi" w:hAnsiTheme="majorBidi" w:cstheme="majorBidi"/>
          <w:sz w:val="24"/>
          <w:szCs w:val="24"/>
        </w:rPr>
        <w:t xml:space="preserve">La culture comme la société étrangère s’offrent comme </w:t>
      </w:r>
      <w:r>
        <w:rPr>
          <w:rFonts w:asciiTheme="majorBidi" w:hAnsiTheme="majorBidi" w:cstheme="majorBidi"/>
          <w:sz w:val="24"/>
          <w:szCs w:val="24"/>
        </w:rPr>
        <w:t xml:space="preserve">des </w:t>
      </w:r>
      <w:r w:rsidRPr="00E905F1">
        <w:rPr>
          <w:rFonts w:asciiTheme="majorBidi" w:hAnsiTheme="majorBidi" w:cstheme="majorBidi"/>
          <w:sz w:val="24"/>
          <w:szCs w:val="24"/>
        </w:rPr>
        <w:t>matériaux, transmises par la littérature afin d’être lues et interprétées ou imaginées, donc, on doit distinguer les images de types idéologiques, social, culturelle esthétique ou oniriques (représentée</w:t>
      </w:r>
      <w:r>
        <w:rPr>
          <w:rFonts w:asciiTheme="majorBidi" w:hAnsiTheme="majorBidi" w:cstheme="majorBidi"/>
          <w:sz w:val="24"/>
          <w:szCs w:val="24"/>
        </w:rPr>
        <w:t>s</w:t>
      </w:r>
      <w:r w:rsidRPr="00E905F1">
        <w:rPr>
          <w:rFonts w:asciiTheme="majorBidi" w:hAnsiTheme="majorBidi" w:cstheme="majorBidi"/>
          <w:sz w:val="24"/>
          <w:szCs w:val="24"/>
        </w:rPr>
        <w:t xml:space="preserve"> selon l’imaginaire </w:t>
      </w:r>
      <w:r>
        <w:rPr>
          <w:rFonts w:asciiTheme="majorBidi" w:hAnsiTheme="majorBidi" w:cstheme="majorBidi"/>
          <w:sz w:val="24"/>
          <w:szCs w:val="24"/>
        </w:rPr>
        <w:t>social</w:t>
      </w:r>
      <w:r w:rsidRPr="00E905F1">
        <w:rPr>
          <w:rFonts w:asciiTheme="majorBidi" w:hAnsiTheme="majorBidi" w:cstheme="majorBidi"/>
          <w:sz w:val="24"/>
          <w:szCs w:val="24"/>
        </w:rPr>
        <w:t>).</w:t>
      </w:r>
    </w:p>
    <w:p w:rsidR="002024C9" w:rsidRDefault="002024C9" w:rsidP="002024C9">
      <w:pPr>
        <w:pStyle w:val="Paragraphedeliste"/>
        <w:numPr>
          <w:ilvl w:val="0"/>
          <w:numId w:val="2"/>
        </w:numPr>
        <w:jc w:val="both"/>
        <w:rPr>
          <w:rFonts w:asciiTheme="majorBidi" w:hAnsiTheme="majorBidi" w:cstheme="majorBidi"/>
          <w:b/>
          <w:bCs/>
          <w:sz w:val="24"/>
          <w:szCs w:val="24"/>
        </w:rPr>
      </w:pPr>
      <w:r w:rsidRPr="00B13696">
        <w:rPr>
          <w:rFonts w:asciiTheme="majorBidi" w:hAnsiTheme="majorBidi" w:cstheme="majorBidi"/>
          <w:b/>
          <w:bCs/>
          <w:sz w:val="24"/>
          <w:szCs w:val="24"/>
        </w:rPr>
        <w:t>identité </w:t>
      </w:r>
    </w:p>
    <w:p w:rsidR="002024C9" w:rsidRPr="00E905F1" w:rsidRDefault="002024C9" w:rsidP="002024C9">
      <w:pPr>
        <w:ind w:left="360"/>
        <w:jc w:val="both"/>
        <w:rPr>
          <w:rFonts w:asciiTheme="majorBidi" w:hAnsiTheme="majorBidi" w:cstheme="majorBidi"/>
          <w:sz w:val="24"/>
          <w:szCs w:val="24"/>
        </w:rPr>
      </w:pPr>
      <w:r w:rsidRPr="00E905F1">
        <w:rPr>
          <w:rFonts w:asciiTheme="majorBidi" w:hAnsiTheme="majorBidi" w:cstheme="majorBidi"/>
          <w:sz w:val="24"/>
          <w:szCs w:val="24"/>
        </w:rPr>
        <w:t>Parmi les problématiques qu’affronte l’</w:t>
      </w:r>
      <w:proofErr w:type="spellStart"/>
      <w:r w:rsidRPr="00E905F1">
        <w:rPr>
          <w:rFonts w:asciiTheme="majorBidi" w:hAnsiTheme="majorBidi" w:cstheme="majorBidi"/>
          <w:sz w:val="24"/>
          <w:szCs w:val="24"/>
        </w:rPr>
        <w:t>imagologie</w:t>
      </w:r>
      <w:proofErr w:type="spellEnd"/>
      <w:r w:rsidRPr="00E905F1">
        <w:rPr>
          <w:rFonts w:asciiTheme="majorBidi" w:hAnsiTheme="majorBidi" w:cstheme="majorBidi"/>
          <w:sz w:val="24"/>
          <w:szCs w:val="24"/>
        </w:rPr>
        <w:t xml:space="preserve"> est celle de l’identité, cette identité est véhiculée à travers l’examen de celle de l’Autre (ex : les littératures coloniales)</w:t>
      </w:r>
    </w:p>
    <w:p w:rsidR="002024C9" w:rsidRDefault="002024C9" w:rsidP="002024C9">
      <w:pPr>
        <w:pStyle w:val="Paragraphedeliste"/>
        <w:numPr>
          <w:ilvl w:val="0"/>
          <w:numId w:val="2"/>
        </w:numPr>
        <w:jc w:val="both"/>
        <w:rPr>
          <w:rFonts w:asciiTheme="majorBidi" w:hAnsiTheme="majorBidi" w:cstheme="majorBidi"/>
          <w:b/>
          <w:bCs/>
          <w:sz w:val="24"/>
          <w:szCs w:val="24"/>
        </w:rPr>
      </w:pPr>
      <w:r w:rsidRPr="00B13696">
        <w:rPr>
          <w:rFonts w:asciiTheme="majorBidi" w:hAnsiTheme="majorBidi" w:cstheme="majorBidi"/>
          <w:b/>
          <w:bCs/>
          <w:sz w:val="24"/>
          <w:szCs w:val="24"/>
        </w:rPr>
        <w:t>exotisme </w:t>
      </w:r>
    </w:p>
    <w:p w:rsidR="002024C9" w:rsidRPr="00E905F1" w:rsidRDefault="002024C9" w:rsidP="002024C9">
      <w:pPr>
        <w:ind w:left="360"/>
        <w:jc w:val="both"/>
        <w:rPr>
          <w:rFonts w:asciiTheme="majorBidi" w:hAnsiTheme="majorBidi" w:cstheme="majorBidi"/>
          <w:sz w:val="24"/>
          <w:szCs w:val="24"/>
        </w:rPr>
      </w:pPr>
      <w:r w:rsidRPr="00E905F1">
        <w:rPr>
          <w:rFonts w:asciiTheme="majorBidi" w:hAnsiTheme="majorBidi" w:cstheme="majorBidi"/>
          <w:sz w:val="24"/>
          <w:szCs w:val="24"/>
        </w:rPr>
        <w:t>L’une des questions majeures de l’</w:t>
      </w:r>
      <w:proofErr w:type="spellStart"/>
      <w:r w:rsidRPr="00E905F1">
        <w:rPr>
          <w:rFonts w:asciiTheme="majorBidi" w:hAnsiTheme="majorBidi" w:cstheme="majorBidi"/>
          <w:sz w:val="24"/>
          <w:szCs w:val="24"/>
        </w:rPr>
        <w:t>imagologie</w:t>
      </w:r>
      <w:proofErr w:type="spellEnd"/>
      <w:r w:rsidRPr="00E905F1">
        <w:rPr>
          <w:rFonts w:asciiTheme="majorBidi" w:hAnsiTheme="majorBidi" w:cstheme="majorBidi"/>
          <w:sz w:val="24"/>
          <w:szCs w:val="24"/>
        </w:rPr>
        <w:t xml:space="preserve"> est l’exotisme, surtout avec l’orientalisme où l’Orient devient un espace rêvé en art comme e</w:t>
      </w:r>
      <w:r>
        <w:rPr>
          <w:rFonts w:asciiTheme="majorBidi" w:hAnsiTheme="majorBidi" w:cstheme="majorBidi"/>
          <w:sz w:val="24"/>
          <w:szCs w:val="24"/>
        </w:rPr>
        <w:t>n</w:t>
      </w:r>
      <w:r w:rsidRPr="00E905F1">
        <w:rPr>
          <w:rFonts w:asciiTheme="majorBidi" w:hAnsiTheme="majorBidi" w:cstheme="majorBidi"/>
          <w:sz w:val="24"/>
          <w:szCs w:val="24"/>
        </w:rPr>
        <w:t xml:space="preserve"> science. L’exotisme constitue un ensemble des procédés d’écriture, en relevant de plusieurs stratégies : l’écriture de l’espace (la description de la nature de l’étranger) ; la théâtralisation de l’Autre à travers des scènes et des tableaux</w:t>
      </w:r>
      <w:r>
        <w:rPr>
          <w:rFonts w:asciiTheme="majorBidi" w:hAnsiTheme="majorBidi" w:cstheme="majorBidi"/>
          <w:sz w:val="24"/>
          <w:szCs w:val="24"/>
        </w:rPr>
        <w:t xml:space="preserve">, </w:t>
      </w:r>
      <w:r w:rsidRPr="00E905F1">
        <w:rPr>
          <w:rFonts w:asciiTheme="majorBidi" w:hAnsiTheme="majorBidi" w:cstheme="majorBidi"/>
          <w:sz w:val="24"/>
          <w:szCs w:val="24"/>
        </w:rPr>
        <w:t xml:space="preserve">etc. ; la sexualisation permettant la domination de l’Autre. L’Orient donc offre </w:t>
      </w:r>
      <w:r>
        <w:rPr>
          <w:rFonts w:asciiTheme="majorBidi" w:hAnsiTheme="majorBidi" w:cstheme="majorBidi"/>
          <w:sz w:val="24"/>
          <w:szCs w:val="24"/>
        </w:rPr>
        <w:t>par</w:t>
      </w:r>
      <w:r w:rsidRPr="00E905F1">
        <w:rPr>
          <w:rFonts w:asciiTheme="majorBidi" w:hAnsiTheme="majorBidi" w:cstheme="majorBidi"/>
          <w:sz w:val="24"/>
          <w:szCs w:val="24"/>
        </w:rPr>
        <w:t xml:space="preserve"> </w:t>
      </w:r>
      <w:r w:rsidRPr="00E905F1">
        <w:rPr>
          <w:rFonts w:asciiTheme="majorBidi" w:hAnsiTheme="majorBidi" w:cstheme="majorBidi"/>
          <w:sz w:val="24"/>
          <w:szCs w:val="24"/>
        </w:rPr>
        <w:lastRenderedPageBreak/>
        <w:t>exc</w:t>
      </w:r>
      <w:r>
        <w:rPr>
          <w:rFonts w:asciiTheme="majorBidi" w:hAnsiTheme="majorBidi" w:cstheme="majorBidi"/>
          <w:sz w:val="24"/>
          <w:szCs w:val="24"/>
        </w:rPr>
        <w:t>el</w:t>
      </w:r>
      <w:r w:rsidRPr="00E905F1">
        <w:rPr>
          <w:rFonts w:asciiTheme="majorBidi" w:hAnsiTheme="majorBidi" w:cstheme="majorBidi"/>
          <w:sz w:val="24"/>
          <w:szCs w:val="24"/>
        </w:rPr>
        <w:t>lence un espace exotique où toute transgression du con</w:t>
      </w:r>
      <w:r>
        <w:rPr>
          <w:rFonts w:asciiTheme="majorBidi" w:hAnsiTheme="majorBidi" w:cstheme="majorBidi"/>
          <w:sz w:val="24"/>
          <w:szCs w:val="24"/>
        </w:rPr>
        <w:t>s</w:t>
      </w:r>
      <w:r w:rsidRPr="00E905F1">
        <w:rPr>
          <w:rFonts w:asciiTheme="majorBidi" w:hAnsiTheme="majorBidi" w:cstheme="majorBidi"/>
          <w:sz w:val="24"/>
          <w:szCs w:val="24"/>
        </w:rPr>
        <w:t>er</w:t>
      </w:r>
      <w:r>
        <w:rPr>
          <w:rFonts w:asciiTheme="majorBidi" w:hAnsiTheme="majorBidi" w:cstheme="majorBidi"/>
          <w:sz w:val="24"/>
          <w:szCs w:val="24"/>
        </w:rPr>
        <w:t>va</w:t>
      </w:r>
      <w:r w:rsidRPr="00E905F1">
        <w:rPr>
          <w:rFonts w:asciiTheme="majorBidi" w:hAnsiTheme="majorBidi" w:cstheme="majorBidi"/>
          <w:sz w:val="24"/>
          <w:szCs w:val="24"/>
        </w:rPr>
        <w:t>t</w:t>
      </w:r>
      <w:r>
        <w:rPr>
          <w:rFonts w:asciiTheme="majorBidi" w:hAnsiTheme="majorBidi" w:cstheme="majorBidi"/>
          <w:sz w:val="24"/>
          <w:szCs w:val="24"/>
        </w:rPr>
        <w:t>i</w:t>
      </w:r>
      <w:r w:rsidRPr="00E905F1">
        <w:rPr>
          <w:rFonts w:asciiTheme="majorBidi" w:hAnsiTheme="majorBidi" w:cstheme="majorBidi"/>
          <w:sz w:val="24"/>
          <w:szCs w:val="24"/>
        </w:rPr>
        <w:t xml:space="preserve">sme européen est possible. </w:t>
      </w:r>
    </w:p>
    <w:p w:rsidR="002024C9" w:rsidRDefault="002024C9" w:rsidP="002024C9">
      <w:pPr>
        <w:pStyle w:val="Paragraphedeliste"/>
        <w:numPr>
          <w:ilvl w:val="0"/>
          <w:numId w:val="2"/>
        </w:numPr>
        <w:jc w:val="both"/>
        <w:rPr>
          <w:rFonts w:asciiTheme="majorBidi" w:hAnsiTheme="majorBidi" w:cstheme="majorBidi"/>
          <w:b/>
          <w:bCs/>
          <w:sz w:val="24"/>
          <w:szCs w:val="24"/>
        </w:rPr>
      </w:pPr>
      <w:r w:rsidRPr="00B13696">
        <w:rPr>
          <w:rFonts w:asciiTheme="majorBidi" w:hAnsiTheme="majorBidi" w:cstheme="majorBidi"/>
          <w:b/>
          <w:bCs/>
          <w:sz w:val="24"/>
          <w:szCs w:val="24"/>
        </w:rPr>
        <w:t>imaginaire et histoire de l’imagination </w:t>
      </w:r>
    </w:p>
    <w:p w:rsidR="002024C9" w:rsidRPr="007F66FA" w:rsidRDefault="002024C9" w:rsidP="002024C9">
      <w:pPr>
        <w:ind w:left="360"/>
        <w:jc w:val="both"/>
        <w:rPr>
          <w:rFonts w:asciiTheme="majorBidi" w:hAnsiTheme="majorBidi" w:cstheme="majorBidi"/>
          <w:sz w:val="24"/>
          <w:szCs w:val="24"/>
        </w:rPr>
      </w:pPr>
      <w:r w:rsidRPr="007F66FA">
        <w:rPr>
          <w:rFonts w:asciiTheme="majorBidi" w:hAnsiTheme="majorBidi" w:cstheme="majorBidi"/>
          <w:sz w:val="24"/>
          <w:szCs w:val="24"/>
        </w:rPr>
        <w:t xml:space="preserve">Pierre </w:t>
      </w:r>
      <w:proofErr w:type="spellStart"/>
      <w:r w:rsidRPr="007F66FA">
        <w:rPr>
          <w:rFonts w:asciiTheme="majorBidi" w:hAnsiTheme="majorBidi" w:cstheme="majorBidi"/>
          <w:sz w:val="24"/>
          <w:szCs w:val="24"/>
        </w:rPr>
        <w:t>Citti</w:t>
      </w:r>
      <w:proofErr w:type="spellEnd"/>
      <w:r w:rsidRPr="007F66FA">
        <w:rPr>
          <w:rFonts w:asciiTheme="majorBidi" w:hAnsiTheme="majorBidi" w:cstheme="majorBidi"/>
          <w:sz w:val="24"/>
          <w:szCs w:val="24"/>
        </w:rPr>
        <w:t xml:space="preserve"> fait la différence entre imagination et imaginaire : par le premier il explique un certain dynamisme ou une </w:t>
      </w:r>
      <w:r w:rsidRPr="007F66FA">
        <w:rPr>
          <w:rFonts w:asciiTheme="majorBidi" w:hAnsiTheme="majorBidi" w:cstheme="majorBidi"/>
          <w:i/>
          <w:iCs/>
          <w:sz w:val="24"/>
          <w:szCs w:val="24"/>
        </w:rPr>
        <w:t>« action de facteurs imaginaire dans l’histoire </w:t>
      </w:r>
      <w:r>
        <w:rPr>
          <w:rStyle w:val="Appelnotedebasdep"/>
          <w:rFonts w:asciiTheme="majorBidi" w:hAnsiTheme="majorBidi" w:cstheme="majorBidi"/>
          <w:sz w:val="24"/>
          <w:szCs w:val="24"/>
        </w:rPr>
        <w:footnoteReference w:id="8"/>
      </w:r>
      <w:r w:rsidRPr="007F66FA">
        <w:rPr>
          <w:rFonts w:asciiTheme="majorBidi" w:hAnsiTheme="majorBidi" w:cstheme="majorBidi"/>
          <w:sz w:val="24"/>
          <w:szCs w:val="24"/>
        </w:rPr>
        <w:t xml:space="preserve">» pour analyser les </w:t>
      </w:r>
      <w:r w:rsidRPr="007F66FA">
        <w:rPr>
          <w:rFonts w:asciiTheme="majorBidi" w:hAnsiTheme="majorBidi" w:cstheme="majorBidi"/>
          <w:i/>
          <w:iCs/>
          <w:sz w:val="24"/>
          <w:szCs w:val="24"/>
        </w:rPr>
        <w:t>« conditions de représentation »,</w:t>
      </w:r>
      <w:r>
        <w:rPr>
          <w:rStyle w:val="Appelnotedebasdep"/>
          <w:rFonts w:asciiTheme="majorBidi" w:hAnsiTheme="majorBidi" w:cstheme="majorBidi"/>
          <w:sz w:val="24"/>
          <w:szCs w:val="24"/>
        </w:rPr>
        <w:footnoteReference w:id="9"/>
      </w:r>
      <w:r w:rsidRPr="007F66FA">
        <w:rPr>
          <w:rFonts w:asciiTheme="majorBidi" w:hAnsiTheme="majorBidi" w:cstheme="majorBidi"/>
          <w:sz w:val="24"/>
          <w:szCs w:val="24"/>
        </w:rPr>
        <w:t xml:space="preserve"> mettant en jeu quatre termes : un représentant et un représenté (le texte, le message), un récepteur de la représentation, l’auteur de la représentation, et la représentation et l’irre</w:t>
      </w:r>
      <w:r>
        <w:rPr>
          <w:rFonts w:asciiTheme="majorBidi" w:hAnsiTheme="majorBidi" w:cstheme="majorBidi"/>
          <w:sz w:val="24"/>
          <w:szCs w:val="24"/>
        </w:rPr>
        <w:t>pré</w:t>
      </w:r>
      <w:r w:rsidRPr="007F66FA">
        <w:rPr>
          <w:rFonts w:asciiTheme="majorBidi" w:hAnsiTheme="majorBidi" w:cstheme="majorBidi"/>
          <w:sz w:val="24"/>
          <w:szCs w:val="24"/>
        </w:rPr>
        <w:t xml:space="preserve">sentable. </w:t>
      </w:r>
    </w:p>
    <w:p w:rsidR="002024C9" w:rsidRPr="007F66FA" w:rsidRDefault="002024C9" w:rsidP="002024C9">
      <w:pPr>
        <w:pStyle w:val="Paragraphedeliste"/>
        <w:numPr>
          <w:ilvl w:val="0"/>
          <w:numId w:val="2"/>
        </w:numPr>
        <w:jc w:val="both"/>
        <w:rPr>
          <w:rFonts w:asciiTheme="majorBidi" w:hAnsiTheme="majorBidi" w:cstheme="majorBidi"/>
          <w:sz w:val="24"/>
          <w:szCs w:val="24"/>
        </w:rPr>
      </w:pPr>
      <w:r>
        <w:rPr>
          <w:rFonts w:asciiTheme="majorBidi" w:hAnsiTheme="majorBidi" w:cstheme="majorBidi"/>
          <w:b/>
          <w:bCs/>
          <w:sz w:val="24"/>
          <w:szCs w:val="24"/>
        </w:rPr>
        <w:t xml:space="preserve">la rencontre critique  </w:t>
      </w:r>
    </w:p>
    <w:p w:rsidR="002024C9" w:rsidRPr="007F66FA" w:rsidRDefault="002024C9" w:rsidP="002024C9">
      <w:pPr>
        <w:ind w:left="360"/>
        <w:jc w:val="both"/>
        <w:rPr>
          <w:rFonts w:asciiTheme="majorBidi" w:hAnsiTheme="majorBidi" w:cstheme="majorBidi"/>
          <w:sz w:val="24"/>
          <w:szCs w:val="24"/>
        </w:rPr>
      </w:pPr>
      <w:r w:rsidRPr="007F66FA">
        <w:rPr>
          <w:rFonts w:asciiTheme="majorBidi" w:hAnsiTheme="majorBidi" w:cstheme="majorBidi"/>
          <w:sz w:val="24"/>
          <w:szCs w:val="24"/>
        </w:rPr>
        <w:t xml:space="preserve">le critique selon Jean Starobinski possède trois attitudes face à l’œuvre : premièrement est la phobie de le critique réserve à l’œuvre lue ; puis la manie qui est une </w:t>
      </w:r>
      <w:r w:rsidRPr="007F66FA">
        <w:rPr>
          <w:rFonts w:asciiTheme="majorBidi" w:hAnsiTheme="majorBidi" w:cstheme="majorBidi"/>
          <w:i/>
          <w:iCs/>
          <w:sz w:val="24"/>
          <w:szCs w:val="24"/>
        </w:rPr>
        <w:t>restitution traditionnelle</w:t>
      </w:r>
      <w:r w:rsidRPr="007F66FA">
        <w:rPr>
          <w:rStyle w:val="Appelnotedebasdep"/>
          <w:rFonts w:asciiTheme="majorBidi" w:hAnsiTheme="majorBidi" w:cstheme="majorBidi"/>
          <w:i/>
          <w:iCs/>
          <w:sz w:val="24"/>
          <w:szCs w:val="24"/>
        </w:rPr>
        <w:footnoteReference w:id="10"/>
      </w:r>
      <w:r w:rsidRPr="007F66FA">
        <w:rPr>
          <w:rFonts w:asciiTheme="majorBidi" w:hAnsiTheme="majorBidi" w:cstheme="majorBidi"/>
          <w:sz w:val="24"/>
          <w:szCs w:val="24"/>
        </w:rPr>
        <w:t xml:space="preserve"> du texte pour le rendre à son ét</w:t>
      </w:r>
      <w:r>
        <w:rPr>
          <w:rFonts w:asciiTheme="majorBidi" w:hAnsiTheme="majorBidi" w:cstheme="majorBidi"/>
          <w:sz w:val="24"/>
          <w:szCs w:val="24"/>
        </w:rPr>
        <w:t>a</w:t>
      </w:r>
      <w:r w:rsidRPr="007F66FA">
        <w:rPr>
          <w:rFonts w:asciiTheme="majorBidi" w:hAnsiTheme="majorBidi" w:cstheme="majorBidi"/>
          <w:sz w:val="24"/>
          <w:szCs w:val="24"/>
        </w:rPr>
        <w:t xml:space="preserve">t premier ; </w:t>
      </w:r>
      <w:r>
        <w:rPr>
          <w:rFonts w:asciiTheme="majorBidi" w:hAnsiTheme="majorBidi" w:cstheme="majorBidi"/>
          <w:sz w:val="24"/>
          <w:szCs w:val="24"/>
        </w:rPr>
        <w:t>troisième</w:t>
      </w:r>
      <w:r w:rsidRPr="007F66FA">
        <w:rPr>
          <w:rFonts w:asciiTheme="majorBidi" w:hAnsiTheme="majorBidi" w:cstheme="majorBidi"/>
          <w:sz w:val="24"/>
          <w:szCs w:val="24"/>
        </w:rPr>
        <w:t xml:space="preserve"> attitude est celle de l’interprète en interrogeant les texte</w:t>
      </w:r>
      <w:r>
        <w:rPr>
          <w:rFonts w:asciiTheme="majorBidi" w:hAnsiTheme="majorBidi" w:cstheme="majorBidi"/>
          <w:sz w:val="24"/>
          <w:szCs w:val="24"/>
        </w:rPr>
        <w:t>s sur tous ses plans esthétique</w:t>
      </w:r>
      <w:r w:rsidRPr="007F66FA">
        <w:rPr>
          <w:rFonts w:asciiTheme="majorBidi" w:hAnsiTheme="majorBidi" w:cstheme="majorBidi"/>
          <w:sz w:val="24"/>
          <w:szCs w:val="24"/>
        </w:rPr>
        <w:t>, stylistique, structural…cette adéquation du discours interprétant et de l’objet interprété donnera naissance à un nouveau composé qui rendra évident</w:t>
      </w:r>
      <w:r>
        <w:rPr>
          <w:rFonts w:asciiTheme="majorBidi" w:hAnsiTheme="majorBidi" w:cstheme="majorBidi"/>
          <w:sz w:val="24"/>
          <w:szCs w:val="24"/>
        </w:rPr>
        <w:t>s</w:t>
      </w:r>
      <w:r w:rsidRPr="007F66FA">
        <w:rPr>
          <w:rFonts w:asciiTheme="majorBidi" w:hAnsiTheme="majorBidi" w:cstheme="majorBidi"/>
          <w:sz w:val="24"/>
          <w:szCs w:val="24"/>
        </w:rPr>
        <w:t xml:space="preserve"> l’objet compris, et toute réflexion poétique sur l’Autre.</w:t>
      </w:r>
    </w:p>
    <w:p w:rsidR="00B159A6" w:rsidRDefault="00B159A6"/>
    <w:sectPr w:rsidR="00B159A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813" w:rsidRDefault="009B5813" w:rsidP="002024C9">
      <w:pPr>
        <w:spacing w:after="0" w:line="240" w:lineRule="auto"/>
      </w:pPr>
      <w:r>
        <w:separator/>
      </w:r>
    </w:p>
  </w:endnote>
  <w:endnote w:type="continuationSeparator" w:id="0">
    <w:p w:rsidR="009B5813" w:rsidRDefault="009B5813" w:rsidP="00202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813" w:rsidRDefault="009B5813" w:rsidP="002024C9">
      <w:pPr>
        <w:spacing w:after="0" w:line="240" w:lineRule="auto"/>
      </w:pPr>
      <w:r>
        <w:separator/>
      </w:r>
    </w:p>
  </w:footnote>
  <w:footnote w:type="continuationSeparator" w:id="0">
    <w:p w:rsidR="009B5813" w:rsidRDefault="009B5813" w:rsidP="002024C9">
      <w:pPr>
        <w:spacing w:after="0" w:line="240" w:lineRule="auto"/>
      </w:pPr>
      <w:r>
        <w:continuationSeparator/>
      </w:r>
    </w:p>
  </w:footnote>
  <w:footnote w:id="1">
    <w:p w:rsidR="002024C9" w:rsidRPr="000264AF" w:rsidRDefault="002024C9" w:rsidP="002024C9">
      <w:pPr>
        <w:pStyle w:val="Notedebasdepage"/>
        <w:rPr>
          <w:color w:val="FF0000"/>
        </w:rPr>
      </w:pPr>
      <w:r w:rsidRPr="002024C9">
        <w:rPr>
          <w:rStyle w:val="Appelnotedebasdep"/>
        </w:rPr>
        <w:footnoteRef/>
      </w:r>
      <w:r w:rsidRPr="002024C9">
        <w:t xml:space="preserve"> </w:t>
      </w:r>
      <w:r w:rsidRPr="002024C9">
        <w:rPr>
          <w:rFonts w:asciiTheme="majorBidi" w:hAnsiTheme="majorBidi" w:cstheme="majorBidi"/>
        </w:rPr>
        <w:t xml:space="preserve">Daniel-Henri Pageaux, </w:t>
      </w:r>
      <w:r w:rsidRPr="002024C9">
        <w:rPr>
          <w:rFonts w:asciiTheme="majorBidi" w:hAnsiTheme="majorBidi" w:cstheme="majorBidi"/>
          <w:i/>
          <w:iCs/>
        </w:rPr>
        <w:t>La littérature générale et comparée</w:t>
      </w:r>
      <w:r w:rsidRPr="002024C9">
        <w:rPr>
          <w:rFonts w:asciiTheme="majorBidi" w:hAnsiTheme="majorBidi" w:cstheme="majorBidi"/>
        </w:rPr>
        <w:t>, Arman Colin, Paris, 1994,  p. 60.</w:t>
      </w:r>
    </w:p>
  </w:footnote>
  <w:footnote w:id="2">
    <w:p w:rsidR="002024C9" w:rsidRDefault="002024C9" w:rsidP="002024C9">
      <w:pPr>
        <w:pStyle w:val="Notedebasdepage"/>
      </w:pPr>
      <w:r>
        <w:rPr>
          <w:rStyle w:val="Appelnotedebasdep"/>
        </w:rPr>
        <w:footnoteRef/>
      </w:r>
      <w:r>
        <w:t xml:space="preserve"> Ibid. </w:t>
      </w:r>
    </w:p>
  </w:footnote>
  <w:footnote w:id="3">
    <w:p w:rsidR="002024C9" w:rsidRDefault="002024C9" w:rsidP="002024C9">
      <w:pPr>
        <w:pStyle w:val="Notedebasdepage"/>
      </w:pPr>
      <w:r>
        <w:rPr>
          <w:rStyle w:val="Appelnotedebasdep"/>
        </w:rPr>
        <w:footnoteRef/>
      </w:r>
      <w:r>
        <w:t xml:space="preserve"> Ibid., p. 61.</w:t>
      </w:r>
    </w:p>
  </w:footnote>
  <w:footnote w:id="4">
    <w:p w:rsidR="002024C9" w:rsidRDefault="002024C9" w:rsidP="002024C9">
      <w:pPr>
        <w:pStyle w:val="Notedebasdepage"/>
      </w:pPr>
      <w:r>
        <w:rPr>
          <w:rStyle w:val="Appelnotedebasdep"/>
        </w:rPr>
        <w:footnoteRef/>
      </w:r>
      <w:r>
        <w:t xml:space="preserve"> Ibid. </w:t>
      </w:r>
    </w:p>
  </w:footnote>
  <w:footnote w:id="5">
    <w:p w:rsidR="002024C9" w:rsidRDefault="002024C9" w:rsidP="002024C9">
      <w:pPr>
        <w:pStyle w:val="Notedebasdepage"/>
      </w:pPr>
      <w:r>
        <w:rPr>
          <w:rStyle w:val="Appelnotedebasdep"/>
        </w:rPr>
        <w:footnoteRef/>
      </w:r>
      <w:r>
        <w:t xml:space="preserve"> Ibid., p. 62.</w:t>
      </w:r>
    </w:p>
  </w:footnote>
  <w:footnote w:id="6">
    <w:p w:rsidR="002024C9" w:rsidRDefault="002024C9" w:rsidP="002024C9">
      <w:pPr>
        <w:pStyle w:val="Notedebasdepage"/>
      </w:pPr>
      <w:r>
        <w:rPr>
          <w:rStyle w:val="Appelnotedebasdep"/>
        </w:rPr>
        <w:footnoteRef/>
      </w:r>
      <w:r>
        <w:t xml:space="preserve"> Ibid., p. 63.</w:t>
      </w:r>
    </w:p>
  </w:footnote>
  <w:footnote w:id="7">
    <w:p w:rsidR="002024C9" w:rsidRDefault="002024C9" w:rsidP="002024C9">
      <w:pPr>
        <w:pStyle w:val="Notedebasdepage"/>
      </w:pPr>
      <w:r>
        <w:rPr>
          <w:rStyle w:val="Appelnotedebasdep"/>
        </w:rPr>
        <w:footnoteRef/>
      </w:r>
      <w:r>
        <w:t xml:space="preserve"> Ibid.</w:t>
      </w:r>
    </w:p>
  </w:footnote>
  <w:footnote w:id="8">
    <w:p w:rsidR="002024C9" w:rsidRDefault="002024C9" w:rsidP="002024C9">
      <w:pPr>
        <w:pStyle w:val="Notedebasdepage"/>
      </w:pPr>
      <w:r>
        <w:rPr>
          <w:rStyle w:val="Appelnotedebasdep"/>
        </w:rPr>
        <w:footnoteRef/>
      </w:r>
      <w:r>
        <w:t xml:space="preserve"> Ibid., p. 74.</w:t>
      </w:r>
    </w:p>
  </w:footnote>
  <w:footnote w:id="9">
    <w:p w:rsidR="002024C9" w:rsidRDefault="002024C9" w:rsidP="002024C9">
      <w:pPr>
        <w:pStyle w:val="Notedebasdepage"/>
      </w:pPr>
      <w:r>
        <w:rPr>
          <w:rStyle w:val="Appelnotedebasdep"/>
        </w:rPr>
        <w:footnoteRef/>
      </w:r>
      <w:r>
        <w:t xml:space="preserve"> Ibid.</w:t>
      </w:r>
    </w:p>
  </w:footnote>
  <w:footnote w:id="10">
    <w:p w:rsidR="002024C9" w:rsidRDefault="002024C9" w:rsidP="002024C9">
      <w:pPr>
        <w:pStyle w:val="Notedebasdepage"/>
      </w:pPr>
      <w:r>
        <w:rPr>
          <w:rStyle w:val="Appelnotedebasdep"/>
        </w:rPr>
        <w:footnoteRef/>
      </w:r>
      <w:r>
        <w:t xml:space="preserve">Ibid., p. 75.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4F4F"/>
    <w:multiLevelType w:val="hybridMultilevel"/>
    <w:tmpl w:val="231EA584"/>
    <w:lvl w:ilvl="0" w:tplc="A9D6E05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1C74A92"/>
    <w:multiLevelType w:val="hybridMultilevel"/>
    <w:tmpl w:val="0B96F47E"/>
    <w:lvl w:ilvl="0" w:tplc="E93653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4C9"/>
    <w:rsid w:val="002024C9"/>
    <w:rsid w:val="009B5813"/>
    <w:rsid w:val="00B159A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4C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024C9"/>
    <w:pPr>
      <w:ind w:left="720"/>
      <w:contextualSpacing/>
    </w:pPr>
  </w:style>
  <w:style w:type="paragraph" w:styleId="Notedebasdepage">
    <w:name w:val="footnote text"/>
    <w:basedOn w:val="Normal"/>
    <w:link w:val="NotedebasdepageCar"/>
    <w:uiPriority w:val="99"/>
    <w:semiHidden/>
    <w:unhideWhenUsed/>
    <w:rsid w:val="002024C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024C9"/>
    <w:rPr>
      <w:sz w:val="20"/>
      <w:szCs w:val="20"/>
    </w:rPr>
  </w:style>
  <w:style w:type="character" w:styleId="Appelnotedebasdep">
    <w:name w:val="footnote reference"/>
    <w:basedOn w:val="Policepardfaut"/>
    <w:uiPriority w:val="99"/>
    <w:semiHidden/>
    <w:unhideWhenUsed/>
    <w:rsid w:val="002024C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4C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024C9"/>
    <w:pPr>
      <w:ind w:left="720"/>
      <w:contextualSpacing/>
    </w:pPr>
  </w:style>
  <w:style w:type="paragraph" w:styleId="Notedebasdepage">
    <w:name w:val="footnote text"/>
    <w:basedOn w:val="Normal"/>
    <w:link w:val="NotedebasdepageCar"/>
    <w:uiPriority w:val="99"/>
    <w:semiHidden/>
    <w:unhideWhenUsed/>
    <w:rsid w:val="002024C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024C9"/>
    <w:rPr>
      <w:sz w:val="20"/>
      <w:szCs w:val="20"/>
    </w:rPr>
  </w:style>
  <w:style w:type="character" w:styleId="Appelnotedebasdep">
    <w:name w:val="footnote reference"/>
    <w:basedOn w:val="Policepardfaut"/>
    <w:uiPriority w:val="99"/>
    <w:semiHidden/>
    <w:unhideWhenUsed/>
    <w:rsid w:val="002024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1022</Words>
  <Characters>5621</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User-47</dc:creator>
  <cp:lastModifiedBy>User-47</cp:lastModifiedBy>
  <cp:revision>1</cp:revision>
  <dcterms:created xsi:type="dcterms:W3CDTF">2020-03-24T22:17:00Z</dcterms:created>
  <dcterms:modified xsi:type="dcterms:W3CDTF">2020-03-24T22:19:00Z</dcterms:modified>
</cp:coreProperties>
</file>